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CA0BF" w14:textId="77777777" w:rsidR="00A84806" w:rsidRPr="00775EB7" w:rsidRDefault="00A84806" w:rsidP="00A84806">
      <w:pPr>
        <w:jc w:val="center"/>
        <w:rPr>
          <w:rFonts w:ascii="Garamond" w:hAnsi="Garamond"/>
          <w:b/>
          <w:sz w:val="22"/>
          <w:szCs w:val="22"/>
        </w:rPr>
      </w:pPr>
      <w:r w:rsidRPr="00775EB7">
        <w:rPr>
          <w:rFonts w:ascii="Garamond" w:hAnsi="Garamond"/>
          <w:b/>
          <w:sz w:val="22"/>
          <w:szCs w:val="22"/>
        </w:rPr>
        <w:t>Tantárgyi program</w:t>
      </w:r>
    </w:p>
    <w:p w14:paraId="1D9FBB9F" w14:textId="77777777" w:rsidR="00A84806" w:rsidRPr="00775EB7" w:rsidRDefault="00A84806" w:rsidP="00A84806">
      <w:pPr>
        <w:rPr>
          <w:rFonts w:ascii="Garamond" w:hAnsi="Garamon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837"/>
      </w:tblGrid>
      <w:tr w:rsidR="00A84806" w:rsidRPr="00775EB7" w14:paraId="632F2A95" w14:textId="77777777" w:rsidTr="00DE5211">
        <w:tc>
          <w:tcPr>
            <w:tcW w:w="4219" w:type="dxa"/>
            <w:vMerge w:val="restart"/>
          </w:tcPr>
          <w:p w14:paraId="13ED7C89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 neve: 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Bank- és tőzsdei jogi szakszeminárium IV.</w:t>
            </w:r>
          </w:p>
        </w:tc>
        <w:tc>
          <w:tcPr>
            <w:tcW w:w="4993" w:type="dxa"/>
          </w:tcPr>
          <w:p w14:paraId="18CF48F9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Neptun kódja: DFDIÁJ218N4, DFDIÁJ218L4</w:t>
            </w:r>
          </w:p>
        </w:tc>
      </w:tr>
      <w:tr w:rsidR="00A84806" w:rsidRPr="00775EB7" w14:paraId="4F0B2B9E" w14:textId="77777777" w:rsidTr="00DE5211">
        <w:tc>
          <w:tcPr>
            <w:tcW w:w="4219" w:type="dxa"/>
            <w:vMerge/>
          </w:tcPr>
          <w:p w14:paraId="238183D3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93" w:type="dxa"/>
          </w:tcPr>
          <w:p w14:paraId="3AAB0C7F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Tantárgy jellege: kötelezően választandó</w:t>
            </w:r>
          </w:p>
        </w:tc>
      </w:tr>
      <w:tr w:rsidR="00A84806" w:rsidRPr="00775EB7" w14:paraId="488C70F3" w14:textId="77777777" w:rsidTr="00DE5211">
        <w:tc>
          <w:tcPr>
            <w:tcW w:w="9212" w:type="dxa"/>
            <w:gridSpan w:val="2"/>
          </w:tcPr>
          <w:p w14:paraId="7A95312C" w14:textId="32C36644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Tantárgyfelelős neve, beosztása: </w:t>
            </w:r>
            <w:r w:rsidR="004D24CE">
              <w:rPr>
                <w:rFonts w:ascii="Garamond" w:hAnsi="Garamond"/>
                <w:sz w:val="22"/>
                <w:szCs w:val="22"/>
              </w:rPr>
              <w:t xml:space="preserve">Prof. 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Dr. </w:t>
            </w:r>
            <w:r w:rsidR="004D24CE">
              <w:rPr>
                <w:rFonts w:ascii="Garamond" w:hAnsi="Garamond"/>
                <w:sz w:val="22"/>
                <w:szCs w:val="22"/>
              </w:rPr>
              <w:t xml:space="preserve">Nagy Zoltán 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 egyetemi </w:t>
            </w:r>
            <w:r w:rsidR="004D24CE">
              <w:rPr>
                <w:rFonts w:ascii="Garamond" w:hAnsi="Garamond"/>
                <w:sz w:val="22"/>
                <w:szCs w:val="22"/>
              </w:rPr>
              <w:t>tanár</w:t>
            </w:r>
          </w:p>
        </w:tc>
      </w:tr>
      <w:tr w:rsidR="00A84806" w:rsidRPr="00775EB7" w14:paraId="02C36066" w14:textId="77777777" w:rsidTr="00DE5211">
        <w:tc>
          <w:tcPr>
            <w:tcW w:w="9212" w:type="dxa"/>
            <w:gridSpan w:val="2"/>
          </w:tcPr>
          <w:p w14:paraId="4ED5FFCE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Oktatásba bevont oktatók neve, beosztása: -</w:t>
            </w:r>
          </w:p>
        </w:tc>
      </w:tr>
      <w:tr w:rsidR="00A84806" w:rsidRPr="00775EB7" w14:paraId="7EFC01C1" w14:textId="77777777" w:rsidTr="00DE5211">
        <w:tc>
          <w:tcPr>
            <w:tcW w:w="4219" w:type="dxa"/>
          </w:tcPr>
          <w:p w14:paraId="1C55E560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Félév: páratlan/</w:t>
            </w:r>
            <w:r w:rsidRPr="00775EB7">
              <w:rPr>
                <w:rFonts w:ascii="Garamond" w:hAnsi="Garamond"/>
                <w:sz w:val="22"/>
                <w:szCs w:val="22"/>
                <w:u w:val="single"/>
              </w:rPr>
              <w:t>páros</w:t>
            </w:r>
          </w:p>
        </w:tc>
        <w:tc>
          <w:tcPr>
            <w:tcW w:w="4993" w:type="dxa"/>
          </w:tcPr>
          <w:p w14:paraId="264D4FD2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Óraszám/félév: 15</w:t>
            </w:r>
          </w:p>
        </w:tc>
      </w:tr>
      <w:tr w:rsidR="00A84806" w:rsidRPr="00775EB7" w14:paraId="66E6E3FD" w14:textId="77777777" w:rsidTr="00DE5211">
        <w:tc>
          <w:tcPr>
            <w:tcW w:w="4219" w:type="dxa"/>
          </w:tcPr>
          <w:p w14:paraId="24DC3A7B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Kreditérték: 3</w:t>
            </w:r>
          </w:p>
        </w:tc>
        <w:tc>
          <w:tcPr>
            <w:tcW w:w="4993" w:type="dxa"/>
          </w:tcPr>
          <w:p w14:paraId="2FBC53C8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Számonkérés: kollokvium</w:t>
            </w:r>
          </w:p>
        </w:tc>
      </w:tr>
      <w:tr w:rsidR="00A84806" w:rsidRPr="00775EB7" w14:paraId="39D02965" w14:textId="77777777" w:rsidTr="00DE5211">
        <w:tc>
          <w:tcPr>
            <w:tcW w:w="9212" w:type="dxa"/>
            <w:gridSpan w:val="2"/>
          </w:tcPr>
          <w:p w14:paraId="42C553ED" w14:textId="77777777" w:rsidR="00A84806" w:rsidRPr="00775EB7" w:rsidRDefault="00A8480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 feladata, célja:</w:t>
            </w:r>
          </w:p>
          <w:p w14:paraId="27317DF8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</w:p>
          <w:p w14:paraId="30BA68E3" w14:textId="77777777" w:rsidR="00A84806" w:rsidRPr="00775EB7" w:rsidRDefault="00A84806" w:rsidP="00DE5211">
            <w:pPr>
              <w:pStyle w:val="bekezds"/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A programra jelentkező doktorjelöltek már megismerkedtek – az alapképzésben szerzett ismeretanyagra építve – a pénzügyi jogtudomány klasszikusaival, és speciális területeivel – mint a nemzetközi adózás, a külföldiekre vonatkozó adójog és az európai adójog irányaival. E negyedik félévben a bankjog és tőzsdejog fejlődési tendenciáit, speciális területeit, mint a tőzsde és a privatizáció kapcsolata, a nemzetközi pénzügyi integráció és az európai jogfejlődés irányait, kérdéseit tekintjük át az Európai Unióhoz történő csatlakozásunk jegyében a jogharmonizációs feladatok kiemelésével. </w:t>
            </w:r>
          </w:p>
          <w:p w14:paraId="7A56A57A" w14:textId="60DAE328" w:rsidR="00A84806" w:rsidRPr="00775EB7" w:rsidRDefault="00A84806" w:rsidP="00DE5211">
            <w:pPr>
              <w:pStyle w:val="bekezds"/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Az oktatás célja, hogy a doktorjelölt megismerje a </w:t>
            </w:r>
            <w:r w:rsidR="004D24CE">
              <w:rPr>
                <w:rFonts w:ascii="Garamond" w:hAnsi="Garamond"/>
                <w:b w:val="0"/>
                <w:sz w:val="22"/>
                <w:szCs w:val="22"/>
              </w:rPr>
              <w:t xml:space="preserve">bankrendszer és a tőkepiac </w:t>
            </w:r>
            <w:r w:rsidRPr="00775EB7">
              <w:rPr>
                <w:rFonts w:ascii="Garamond" w:hAnsi="Garamond"/>
                <w:b w:val="0"/>
                <w:sz w:val="22"/>
                <w:szCs w:val="22"/>
              </w:rPr>
              <w:t>speciális pénzügyi jogi területeit és feltárja az adott témakörökhöz kapcsolódó szakirodalmat, a hazai joganyagot, összevesse a külföldi jogi megoldásokkal.</w:t>
            </w:r>
          </w:p>
          <w:p w14:paraId="6917316E" w14:textId="77777777" w:rsidR="00A84806" w:rsidRPr="00775EB7" w:rsidRDefault="00A84806" w:rsidP="00DE5211">
            <w:pPr>
              <w:pStyle w:val="bekezds"/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  <w:tr w:rsidR="00A84806" w:rsidRPr="00775EB7" w14:paraId="4AE3E33D" w14:textId="77777777" w:rsidTr="00DE5211">
        <w:tc>
          <w:tcPr>
            <w:tcW w:w="9212" w:type="dxa"/>
            <w:gridSpan w:val="2"/>
          </w:tcPr>
          <w:p w14:paraId="01D0D8C5" w14:textId="77777777" w:rsidR="00A84806" w:rsidRPr="00775EB7" w:rsidRDefault="00A8480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Tantárgyi tematika (heti bontásban):</w:t>
            </w:r>
          </w:p>
          <w:p w14:paraId="44189F36" w14:textId="77777777" w:rsidR="00A84806" w:rsidRPr="00775EB7" w:rsidRDefault="00A8480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7FA0A372" w14:textId="5B63D9BF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 A nemzetközi pénzügyi integráció</w:t>
            </w:r>
            <w:r w:rsidR="004D24CE">
              <w:rPr>
                <w:rFonts w:ascii="Garamond" w:hAnsi="Garamond"/>
                <w:b w:val="0"/>
                <w:sz w:val="22"/>
                <w:szCs w:val="22"/>
              </w:rPr>
              <w:t>, nemzetközi pénzügyi intézmények , nemzetközi trendek</w:t>
            </w:r>
          </w:p>
          <w:p w14:paraId="01D64BD0" w14:textId="384738B9" w:rsidR="004D24CE" w:rsidRPr="00775EB7" w:rsidRDefault="00A84806" w:rsidP="004D24CE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A monetáris Unió: a Maastrichti Szerződés, az EMU</w:t>
            </w:r>
            <w:r w:rsidR="004D24CE">
              <w:rPr>
                <w:rFonts w:ascii="Garamond" w:hAnsi="Garamond"/>
                <w:b w:val="0"/>
                <w:sz w:val="22"/>
                <w:szCs w:val="22"/>
              </w:rPr>
              <w:t>,</w:t>
            </w:r>
            <w:r w:rsidR="004D24CE" w:rsidRPr="00775EB7">
              <w:rPr>
                <w:rFonts w:ascii="Garamond" w:hAnsi="Garamond"/>
                <w:b w:val="0"/>
                <w:sz w:val="22"/>
                <w:szCs w:val="22"/>
              </w:rPr>
              <w:t xml:space="preserve"> </w:t>
            </w:r>
            <w:r w:rsidR="004D24CE">
              <w:rPr>
                <w:rFonts w:ascii="Garamond" w:hAnsi="Garamond"/>
                <w:b w:val="0"/>
                <w:sz w:val="22"/>
                <w:szCs w:val="22"/>
              </w:rPr>
              <w:t>a</w:t>
            </w:r>
            <w:r w:rsidR="004D24CE" w:rsidRPr="00775EB7">
              <w:rPr>
                <w:rFonts w:ascii="Garamond" w:hAnsi="Garamond"/>
                <w:b w:val="0"/>
                <w:sz w:val="22"/>
                <w:szCs w:val="22"/>
              </w:rPr>
              <w:t>z európai pénzügyi piacok fejlődése.</w:t>
            </w:r>
          </w:p>
          <w:p w14:paraId="50AB5289" w14:textId="1D7893F9" w:rsidR="00A84806" w:rsidRDefault="004D24CE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 xml:space="preserve">Európai Unió bankszabályozásának kialakulása </w:t>
            </w:r>
          </w:p>
          <w:p w14:paraId="3F30D6CA" w14:textId="52043879" w:rsidR="004D24CE" w:rsidRDefault="004D24CE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Európai Bankunió</w:t>
            </w:r>
          </w:p>
          <w:p w14:paraId="19F509FF" w14:textId="77777777" w:rsidR="004D24CE" w:rsidRPr="00775EB7" w:rsidRDefault="004D24CE" w:rsidP="004D24CE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Az európai uniós szabályok implementálása a magyar jogban</w:t>
            </w:r>
          </w:p>
          <w:p w14:paraId="578A3101" w14:textId="77777777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A jegybanki autonómia. Az egységes monetáris irányítás keretei, eszközei.</w:t>
            </w:r>
          </w:p>
          <w:p w14:paraId="6B86C808" w14:textId="01A10FD7" w:rsidR="00A84806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A makroprudenciális felügyelet</w:t>
            </w:r>
          </w:p>
          <w:p w14:paraId="0F90EC74" w14:textId="3FEF84F9" w:rsidR="004D24CE" w:rsidRDefault="004D24CE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A mikroprudenciális felügyelet</w:t>
            </w:r>
          </w:p>
          <w:p w14:paraId="70808D41" w14:textId="5FB18428" w:rsidR="004D24CE" w:rsidRPr="00775EB7" w:rsidRDefault="004D24CE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Pénzügyi fogyasztóvédelem szabályozása</w:t>
            </w:r>
          </w:p>
          <w:p w14:paraId="6B5E1F94" w14:textId="03C69A36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A </w:t>
            </w:r>
            <w:r w:rsidR="004D24CE">
              <w:rPr>
                <w:rFonts w:ascii="Garamond" w:hAnsi="Garamond"/>
                <w:b w:val="0"/>
                <w:sz w:val="22"/>
                <w:szCs w:val="22"/>
              </w:rPr>
              <w:t>tőkepiaci szabályok jogfejlődése</w:t>
            </w:r>
          </w:p>
          <w:p w14:paraId="18C73EFC" w14:textId="77777777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A tőzsdei tevékenység szabályozása </w:t>
            </w:r>
          </w:p>
          <w:p w14:paraId="2EC7FFA5" w14:textId="77777777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A tőzsde szervezete, alapításának , működésének szabályai</w:t>
            </w:r>
          </w:p>
          <w:p w14:paraId="2FC21EC2" w14:textId="77777777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Az értékpapírjogi jogharmonizáció </w:t>
            </w:r>
          </w:p>
          <w:p w14:paraId="4522D3D0" w14:textId="77777777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A tőkepiaci szolgáltatások felügyelete </w:t>
            </w:r>
          </w:p>
          <w:p w14:paraId="6424BC82" w14:textId="77777777" w:rsidR="00A84806" w:rsidRPr="00775EB7" w:rsidRDefault="00A84806" w:rsidP="00A84806">
            <w:pPr>
              <w:pStyle w:val="bekezds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spacing w:line="240" w:lineRule="auto"/>
              <w:ind w:left="284" w:firstLine="0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A tőzsde fejlődésének tendenciái különös tekintettel a globalizáció folyamatára.</w:t>
            </w:r>
          </w:p>
          <w:p w14:paraId="7060C148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84806" w:rsidRPr="00775EB7" w14:paraId="1D176020" w14:textId="77777777" w:rsidTr="00DE5211">
        <w:tc>
          <w:tcPr>
            <w:tcW w:w="9212" w:type="dxa"/>
            <w:gridSpan w:val="2"/>
          </w:tcPr>
          <w:p w14:paraId="23916D35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Számonkérés módja</w:t>
            </w:r>
            <w:r w:rsidRPr="00775EB7">
              <w:rPr>
                <w:rFonts w:ascii="Garamond" w:hAnsi="Garamond"/>
                <w:sz w:val="22"/>
                <w:szCs w:val="22"/>
              </w:rPr>
              <w:t>: írásbeli és szóbeli</w:t>
            </w:r>
          </w:p>
        </w:tc>
      </w:tr>
      <w:tr w:rsidR="00A84806" w:rsidRPr="00775EB7" w14:paraId="5F3F3177" w14:textId="77777777" w:rsidTr="00DE5211">
        <w:tc>
          <w:tcPr>
            <w:tcW w:w="9212" w:type="dxa"/>
            <w:gridSpan w:val="2"/>
          </w:tcPr>
          <w:p w14:paraId="24CF653F" w14:textId="77777777" w:rsidR="00A84806" w:rsidRPr="00775EB7" w:rsidRDefault="00A8480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Kötelező irodalom:</w:t>
            </w:r>
          </w:p>
          <w:p w14:paraId="436BEF83" w14:textId="77777777" w:rsidR="00A84806" w:rsidRPr="00775EB7" w:rsidRDefault="00A8480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1ED05553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nyelvű:</w:t>
            </w:r>
          </w:p>
          <w:p w14:paraId="396617BC" w14:textId="77777777" w:rsidR="00A84806" w:rsidRPr="00775EB7" w:rsidRDefault="00A84806" w:rsidP="006D13BF">
            <w:pPr>
              <w:numPr>
                <w:ilvl w:val="0"/>
                <w:numId w:val="6"/>
              </w:num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Bankmenedzsment (szerkesztette: Dr. Lentner Csaba) Nemzeti közszolgálati és Tankönyvkiadó, Budapest, 2013. 1.o. - 526.o.</w:t>
            </w:r>
          </w:p>
          <w:p w14:paraId="4E7FFE73" w14:textId="77777777" w:rsidR="00A84806" w:rsidRPr="00775EB7" w:rsidRDefault="00A84806" w:rsidP="006D13BF">
            <w:pPr>
              <w:pStyle w:val="bekezds"/>
              <w:numPr>
                <w:ilvl w:val="0"/>
                <w:numId w:val="6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Erdős Éva: Az európai értékpapírjogi és a hazai tőkepiaci szabályozási tendenciák, Ünnepi Tanulmányok Kalas Tibor 60. születésnapjára, Bíbor Kiadó, Miskolc, 2002. 111-123. o.</w:t>
            </w:r>
          </w:p>
          <w:p w14:paraId="0B260B1B" w14:textId="77777777" w:rsidR="006D13BF" w:rsidRPr="00795B1F" w:rsidRDefault="006D13BF" w:rsidP="006D13BF">
            <w:pPr>
              <w:pStyle w:val="felsorol3"/>
              <w:numPr>
                <w:ilvl w:val="0"/>
                <w:numId w:val="6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Kálmán  János ( szerk.) A pénzügyi jog alapintézményei,  ORAC Kiadó Kft, Budapest, 2022.   </w:t>
            </w:r>
          </w:p>
          <w:p w14:paraId="5C690696" w14:textId="77777777" w:rsidR="006D13BF" w:rsidRDefault="006D13BF" w:rsidP="006D13BF">
            <w:pPr>
              <w:pStyle w:val="felsorol3"/>
              <w:numPr>
                <w:ilvl w:val="0"/>
                <w:numId w:val="6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Simon István : Pénzügyi jog I. ELTE Eötvös Kiadó, Budapest, 2019.</w:t>
            </w:r>
          </w:p>
          <w:p w14:paraId="595E914E" w14:textId="77777777" w:rsidR="00511003" w:rsidRDefault="009C45A2" w:rsidP="006D13BF">
            <w:pPr>
              <w:pStyle w:val="felsorol3"/>
              <w:numPr>
                <w:ilvl w:val="0"/>
                <w:numId w:val="6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>
              <w:rPr>
                <w:rFonts w:ascii="Garamond" w:hAnsi="Garamond"/>
                <w:color w:val="000000" w:themeColor="text1"/>
                <w:sz w:val="22"/>
                <w:szCs w:val="22"/>
              </w:rPr>
              <w:t>Fábián Gergely- Virág Barnabás ( szerk.) : Bankok a történelemben: Innovációk és válságok, MNB, Budapest, 2018.</w:t>
            </w:r>
          </w:p>
          <w:p w14:paraId="74F8ACB0" w14:textId="198FA341" w:rsidR="009C45A2" w:rsidRPr="00795B1F" w:rsidRDefault="00511003" w:rsidP="006D13BF">
            <w:pPr>
              <w:pStyle w:val="felsorol3"/>
              <w:numPr>
                <w:ilvl w:val="0"/>
                <w:numId w:val="6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Tomori Erika: Értékpapírjog és tőkepiaci szabályozás, BIB, Budapest, 2018. </w:t>
            </w:r>
            <w:r w:rsidR="009C45A2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 </w:t>
            </w:r>
          </w:p>
          <w:p w14:paraId="77DCB35A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</w:p>
          <w:p w14:paraId="68D97D01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idegen nyelvű:</w:t>
            </w:r>
          </w:p>
          <w:p w14:paraId="7A9D6C32" w14:textId="123919C4" w:rsidR="00A84806" w:rsidRPr="006D13BF" w:rsidRDefault="00A84806" w:rsidP="006D13BF">
            <w:pPr>
              <w:pStyle w:val="Listaszerbekezds"/>
              <w:numPr>
                <w:ilvl w:val="0"/>
                <w:numId w:val="6"/>
              </w:numPr>
              <w:rPr>
                <w:rFonts w:ascii="Garamond" w:hAnsi="Garamond"/>
                <w:sz w:val="22"/>
                <w:szCs w:val="22"/>
              </w:rPr>
            </w:pPr>
            <w:r w:rsidRPr="006D13BF">
              <w:rPr>
                <w:rFonts w:ascii="Garamond" w:hAnsi="Garamond"/>
                <w:sz w:val="22"/>
                <w:szCs w:val="22"/>
              </w:rPr>
              <w:t>Armand, BANDE: Banking Integration in the EU: a processed marked by a battle between systems, University of Twente, Netherland, 2012.</w:t>
            </w:r>
          </w:p>
          <w:p w14:paraId="044CBC65" w14:textId="77777777" w:rsidR="00A84806" w:rsidRDefault="00A84806" w:rsidP="00DE5211">
            <w:pPr>
              <w:ind w:left="284"/>
            </w:pPr>
            <w:hyperlink r:id="rId5" w:history="1">
              <w:r w:rsidRPr="00775EB7">
                <w:rPr>
                  <w:rStyle w:val="Hiperhivatkozs"/>
                  <w:rFonts w:ascii="Garamond" w:hAnsi="Garamond"/>
                  <w:sz w:val="22"/>
                  <w:szCs w:val="22"/>
                </w:rPr>
                <w:t>https://www.utwente.nl/bms/pa/staff/donnelly/Thesis%20-%20A%20%20Bande%2020%2008%2012.pdf</w:t>
              </w:r>
            </w:hyperlink>
          </w:p>
          <w:p w14:paraId="04CBB797" w14:textId="33D5B953" w:rsidR="006D13BF" w:rsidRDefault="006D13BF" w:rsidP="006D13BF">
            <w:pPr>
              <w:pStyle w:val="Listaszerbekezds"/>
              <w:numPr>
                <w:ilvl w:val="0"/>
                <w:numId w:val="6"/>
              </w:numPr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6D13B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Zoltán NAGY ( editor): Economic Governance – The Impact of the European Union on the Regulation of Fiscal and Monetary Policy in Central European Countries, CEA Publishing , Miskolc-Budapest, 2024.  </w:t>
            </w:r>
            <w:r w:rsidR="009C45A2" w:rsidRPr="009C45A2">
              <w:rPr>
                <w:rFonts w:ascii="Garamond" w:hAnsi="Garamond"/>
                <w:color w:val="000000" w:themeColor="text1"/>
                <w:sz w:val="22"/>
                <w:szCs w:val="22"/>
              </w:rPr>
              <w:t>https://books.ceapublishing.hu/index.php/ceaprofnet/catalog/view/11/59/1511</w:t>
            </w:r>
          </w:p>
          <w:p w14:paraId="164EDC12" w14:textId="7632FF57" w:rsidR="006D13BF" w:rsidRDefault="006D13BF" w:rsidP="006D13BF">
            <w:pPr>
              <w:pStyle w:val="Listaszerbekezds"/>
              <w:numPr>
                <w:ilvl w:val="0"/>
                <w:numId w:val="6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Zoltán NAGY ( editor): Regulation of Public Finances in Light of Financia</w:t>
            </w:r>
            <w:r w:rsidR="009C45A2">
              <w:rPr>
                <w:rFonts w:ascii="Garamond" w:hAnsi="Garamond"/>
                <w:color w:val="000000" w:themeColor="text1"/>
                <w:sz w:val="22"/>
                <w:szCs w:val="22"/>
              </w:rPr>
              <w:t>l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Constitutionality, CEA Publishing , Miskolc-Budapest, 2022.</w:t>
            </w:r>
            <w:r w:rsidR="005237F8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r w:rsidR="005237F8" w:rsidRPr="005237F8">
              <w:rPr>
                <w:rFonts w:ascii="Garamond" w:hAnsi="Garamond"/>
                <w:color w:val="000000" w:themeColor="text1"/>
                <w:sz w:val="22"/>
                <w:szCs w:val="22"/>
              </w:rPr>
              <w:t>https://books.ceapublishing.hu/index.php/lsce/catalog/view/20/35/937</w:t>
            </w:r>
          </w:p>
          <w:p w14:paraId="50E55511" w14:textId="5B364FA9" w:rsidR="006D13BF" w:rsidRDefault="005237F8" w:rsidP="006D13BF">
            <w:pPr>
              <w:pStyle w:val="Listaszerbekezds"/>
              <w:numPr>
                <w:ilvl w:val="0"/>
                <w:numId w:val="6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>
              <w:rPr>
                <w:rFonts w:ascii="Garamond" w:hAnsi="Garamond"/>
                <w:color w:val="000000" w:themeColor="text1"/>
                <w:sz w:val="22"/>
                <w:szCs w:val="22"/>
              </w:rPr>
              <w:t>V. Gerard Comizio : International Banking Law, West Academic Publishing, USA, St. Paul, 2016.</w:t>
            </w:r>
          </w:p>
          <w:p w14:paraId="5B775024" w14:textId="08FD5255" w:rsidR="006D13BF" w:rsidRPr="006D13BF" w:rsidRDefault="006D13BF" w:rsidP="006D13BF">
            <w:pPr>
              <w:ind w:left="36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      </w:t>
            </w:r>
          </w:p>
          <w:p w14:paraId="7478DB05" w14:textId="77777777" w:rsidR="006D13BF" w:rsidRPr="00775EB7" w:rsidRDefault="006D13BF" w:rsidP="00DE5211">
            <w:pPr>
              <w:ind w:left="284"/>
              <w:rPr>
                <w:rFonts w:ascii="Garamond" w:hAnsi="Garamond"/>
                <w:sz w:val="22"/>
                <w:szCs w:val="22"/>
              </w:rPr>
            </w:pPr>
          </w:p>
          <w:p w14:paraId="0EE4167B" w14:textId="77777777" w:rsidR="00A84806" w:rsidRPr="00775EB7" w:rsidRDefault="00A84806" w:rsidP="00DE5211">
            <w:pPr>
              <w:ind w:left="284"/>
              <w:rPr>
                <w:rFonts w:ascii="Garamond" w:hAnsi="Garamond"/>
                <w:sz w:val="22"/>
                <w:szCs w:val="22"/>
              </w:rPr>
            </w:pPr>
          </w:p>
        </w:tc>
      </w:tr>
      <w:tr w:rsidR="00A84806" w:rsidRPr="00775EB7" w14:paraId="55F93E06" w14:textId="77777777" w:rsidTr="00DE5211">
        <w:tc>
          <w:tcPr>
            <w:tcW w:w="9212" w:type="dxa"/>
            <w:gridSpan w:val="2"/>
          </w:tcPr>
          <w:p w14:paraId="165998B2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lastRenderedPageBreak/>
              <w:t>Ajánlott irodalom</w:t>
            </w:r>
            <w:r w:rsidRPr="00775EB7">
              <w:rPr>
                <w:rFonts w:ascii="Garamond" w:hAnsi="Garamond"/>
                <w:sz w:val="22"/>
                <w:szCs w:val="22"/>
              </w:rPr>
              <w:t>:</w:t>
            </w:r>
          </w:p>
          <w:p w14:paraId="06439ED0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</w:p>
          <w:p w14:paraId="6B30433D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nyelvű:</w:t>
            </w:r>
          </w:p>
          <w:p w14:paraId="35906569" w14:textId="77777777" w:rsidR="00A84806" w:rsidRPr="00775EB7" w:rsidRDefault="00A84806" w:rsidP="00A84806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Bankjog (szerkesztette: Dr. Petrik Ferenc) HVG Orac lap és könyvkiadó Kft. Budapest, 2003.</w:t>
            </w:r>
          </w:p>
          <w:p w14:paraId="7F8F367F" w14:textId="77777777" w:rsidR="00A84806" w:rsidRPr="00775EB7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 Lőrincné Istvánffy Hajna: Pénzügyi integráció Európában KJK-KERSZÖV Budapest, 2001.</w:t>
            </w:r>
          </w:p>
          <w:p w14:paraId="342A9FAC" w14:textId="77777777" w:rsidR="00A84806" w:rsidRPr="00775EB7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Várnay Ernő: Az Európai Monetáris Unió intézmény-jogi aspektusa, Európai Jogi Figyelő 2000. július-augusztus</w:t>
            </w:r>
          </w:p>
          <w:p w14:paraId="623C54EF" w14:textId="77777777" w:rsidR="00A84806" w:rsidRPr="00775EB7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Dr. Lantos Árpád: Egy újszülött hatalmi ág: a jegybanki hatalom, Bankvilág, 1997. 2. szám</w:t>
            </w:r>
          </w:p>
          <w:p w14:paraId="3F9351A8" w14:textId="77777777" w:rsidR="00A84806" w:rsidRPr="00775EB7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Kelemen László: A Magyar Nemzeti Bank jogállása a szakmaiság, a függetlenség és a jogharmonizáció tükrében, Gazdaság és Jog 2001. 3. szám</w:t>
            </w:r>
          </w:p>
          <w:p w14:paraId="11B0650A" w14:textId="77777777" w:rsidR="00A84806" w:rsidRPr="00775EB7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Horváth Ágnes - Szapári György: Az Európai Gazdasági és Monetáris Unió I. rész, Külgazdaság, XLIII. évf. 1999. február</w:t>
            </w:r>
          </w:p>
          <w:p w14:paraId="3720DD4A" w14:textId="77777777" w:rsidR="00A84806" w:rsidRPr="00775EB7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Kengyel Ákos: A Gazdasági és Monetáris Unió és a magyar csatlakozás felvételrendszere, Külgazdaság, XLV. évf. 2001. április</w:t>
            </w:r>
          </w:p>
          <w:p w14:paraId="02D6439E" w14:textId="77777777" w:rsidR="00A84806" w:rsidRPr="00775EB7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 xml:space="preserve">Várhegyi Éva: A bankreform néhány megoldatlan kérdése, Bankszemle, 1990. 4. sz. </w:t>
            </w:r>
          </w:p>
          <w:p w14:paraId="70ECAECE" w14:textId="77777777" w:rsidR="00A84806" w:rsidRDefault="00A84806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775EB7">
              <w:rPr>
                <w:rFonts w:ascii="Garamond" w:hAnsi="Garamond"/>
                <w:b w:val="0"/>
                <w:sz w:val="22"/>
                <w:szCs w:val="22"/>
              </w:rPr>
              <w:t>Angyal Zoltán: Az európai gazdasági és monetáris unió kialakulásának és működésének intézményi és jogi vonatkozású kérdései,. Európai Műhelytanulmányok 105.szám, a miniszterelnöki Hivatal és a Nemzeti Fejlesztési Ügynökség kiadványa, 2005. 1-160.o.</w:t>
            </w:r>
          </w:p>
          <w:p w14:paraId="14A150A4" w14:textId="5BCC873A" w:rsidR="009C45A2" w:rsidRDefault="009C45A2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Sereg Péter : Pénzpiaci felügyelet Magyarországon, Mádl Ferenc Összehasonlító Jogi Intézet, Budapest, 2025.</w:t>
            </w:r>
          </w:p>
          <w:p w14:paraId="1F289D76" w14:textId="77777777" w:rsidR="00CE3147" w:rsidRDefault="00CE3147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 xml:space="preserve">Nagy Zoltán: A kriptopénzek helye és szerepe a pénzügyi rendszerben, Miskolci Jogi Szemle, 2019/2. </w:t>
            </w:r>
          </w:p>
          <w:p w14:paraId="14CC2FD7" w14:textId="77777777" w:rsidR="00CE3147" w:rsidRDefault="00CE3147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Nagy Zoltán: A pénzügyi rendszer problémái és kihívásai a jogi szabályozás számára, Miskolci Jogi Szemle, 2020/ Különszám</w:t>
            </w:r>
          </w:p>
          <w:p w14:paraId="099EEF40" w14:textId="6B9939C2" w:rsidR="00CE3147" w:rsidRPr="00775EB7" w:rsidRDefault="00CE3147" w:rsidP="00A84806">
            <w:pPr>
              <w:pStyle w:val="bekezds"/>
              <w:numPr>
                <w:ilvl w:val="0"/>
                <w:numId w:val="3"/>
              </w:num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 xml:space="preserve">Nagy Zoltán: Fiskális és monetáris eszközök a járványügyi vészhelyzet gazdasági hatásainak mérséklésére in: Nagy Zoltán-Horváth Attila ( szerk.) .: A különleges jogrend és nemzeti szabályozás modelljei </w:t>
            </w:r>
            <w:r w:rsidR="00511003">
              <w:rPr>
                <w:rFonts w:ascii="Garamond" w:hAnsi="Garamond"/>
                <w:b w:val="0"/>
                <w:sz w:val="22"/>
                <w:szCs w:val="22"/>
              </w:rPr>
              <w:t xml:space="preserve">, Mádl Ferenc Összehasonlító Jogi Intézet, Budapest,2021. </w:t>
            </w:r>
            <w:r>
              <w:rPr>
                <w:rFonts w:ascii="Garamond" w:hAnsi="Garamond"/>
                <w:b w:val="0"/>
                <w:sz w:val="22"/>
                <w:szCs w:val="22"/>
              </w:rPr>
              <w:t xml:space="preserve">     </w:t>
            </w:r>
          </w:p>
          <w:p w14:paraId="42FB0DB3" w14:textId="77777777" w:rsidR="00A84806" w:rsidRPr="00775EB7" w:rsidRDefault="00A84806" w:rsidP="00DE5211">
            <w:pPr>
              <w:pStyle w:val="bekezds"/>
              <w:spacing w:line="240" w:lineRule="auto"/>
              <w:ind w:left="720"/>
              <w:rPr>
                <w:rFonts w:ascii="Garamond" w:hAnsi="Garamond"/>
                <w:b w:val="0"/>
                <w:sz w:val="22"/>
                <w:szCs w:val="22"/>
              </w:rPr>
            </w:pPr>
          </w:p>
          <w:p w14:paraId="344955FC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idegen nyelvű:</w:t>
            </w:r>
          </w:p>
          <w:p w14:paraId="7C7462BC" w14:textId="51B917CE" w:rsidR="00A84806" w:rsidRDefault="00A84806" w:rsidP="00DE5211">
            <w:pPr>
              <w:ind w:left="284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1.Van Rompuy, Herman: Towards a Genuine Economic and Monetary Union, report by President of the European Council, 2102. Június 26. </w:t>
            </w:r>
            <w:hyperlink r:id="rId6" w:history="1">
              <w:r w:rsidR="005237F8" w:rsidRPr="00236325">
                <w:rPr>
                  <w:rStyle w:val="Hiperhivatkozs"/>
                  <w:rFonts w:ascii="Garamond" w:hAnsi="Garamond"/>
                  <w:sz w:val="22"/>
                  <w:szCs w:val="22"/>
                </w:rPr>
                <w:t>http://consilium.europa.eu6eudocs6cms_data/docs/pressdata/en/ec/131201.pdf</w:t>
              </w:r>
            </w:hyperlink>
            <w:r w:rsidRPr="00775EB7">
              <w:rPr>
                <w:rFonts w:ascii="Garamond" w:hAnsi="Garamond"/>
                <w:sz w:val="22"/>
                <w:szCs w:val="22"/>
              </w:rPr>
              <w:t>.</w:t>
            </w:r>
          </w:p>
          <w:p w14:paraId="0EC5AFE3" w14:textId="77777777" w:rsidR="00CE3147" w:rsidRDefault="005237F8" w:rsidP="00DE5211">
            <w:pPr>
              <w:ind w:left="284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2. Allen N. Berger – Philip Molyneux- John O.S. Wilson ( ed.) . The Oxford Handbook of Banking, Oxford University Press, Oxford, 2022. </w:t>
            </w:r>
          </w:p>
          <w:p w14:paraId="4E4AB969" w14:textId="17443E50" w:rsidR="005237F8" w:rsidRPr="00775EB7" w:rsidRDefault="00CE3147" w:rsidP="00DE5211">
            <w:pPr>
              <w:ind w:left="284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3. Juan E. Castaneda- David G. Mayes- Geoffrey Wood ( ed.) : European Banking Union, Routledge, London, 2017. </w:t>
            </w:r>
            <w:r w:rsidR="005237F8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17FCBD5C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A84806" w:rsidRPr="00775EB7" w14:paraId="54358A62" w14:textId="77777777" w:rsidTr="00DE5211">
        <w:tc>
          <w:tcPr>
            <w:tcW w:w="9212" w:type="dxa"/>
            <w:gridSpan w:val="2"/>
          </w:tcPr>
          <w:p w14:paraId="55CD5095" w14:textId="77777777" w:rsidR="00A84806" w:rsidRPr="00775EB7" w:rsidRDefault="00A84806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További szakirodalom:</w:t>
            </w:r>
          </w:p>
          <w:p w14:paraId="40994D41" w14:textId="77777777" w:rsidR="00A84806" w:rsidRPr="00775EB7" w:rsidRDefault="00A84806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50AAE4A" w14:textId="77777777" w:rsidR="000F629D" w:rsidRDefault="000F629D"/>
    <w:sectPr w:rsidR="000F629D" w:rsidSect="00C3598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683A"/>
    <w:multiLevelType w:val="hybridMultilevel"/>
    <w:tmpl w:val="308A696C"/>
    <w:lvl w:ilvl="0" w:tplc="E1C29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44683B"/>
    <w:multiLevelType w:val="hybridMultilevel"/>
    <w:tmpl w:val="7CE007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D522A"/>
    <w:multiLevelType w:val="hybridMultilevel"/>
    <w:tmpl w:val="B25853A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B63906"/>
    <w:multiLevelType w:val="hybridMultilevel"/>
    <w:tmpl w:val="1458CB0C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841CE"/>
    <w:multiLevelType w:val="hybridMultilevel"/>
    <w:tmpl w:val="00867EAC"/>
    <w:lvl w:ilvl="0" w:tplc="07083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224AAE"/>
    <w:multiLevelType w:val="hybridMultilevel"/>
    <w:tmpl w:val="03227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343373">
    <w:abstractNumId w:val="4"/>
  </w:num>
  <w:num w:numId="2" w16cid:durableId="85811246">
    <w:abstractNumId w:val="2"/>
  </w:num>
  <w:num w:numId="3" w16cid:durableId="1218469979">
    <w:abstractNumId w:val="0"/>
  </w:num>
  <w:num w:numId="4" w16cid:durableId="1441686607">
    <w:abstractNumId w:val="5"/>
  </w:num>
  <w:num w:numId="5" w16cid:durableId="1192494730">
    <w:abstractNumId w:val="3"/>
  </w:num>
  <w:num w:numId="6" w16cid:durableId="1001008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06"/>
    <w:rsid w:val="00096959"/>
    <w:rsid w:val="000F629D"/>
    <w:rsid w:val="004D05B2"/>
    <w:rsid w:val="004D24CE"/>
    <w:rsid w:val="00511003"/>
    <w:rsid w:val="005237F8"/>
    <w:rsid w:val="00576739"/>
    <w:rsid w:val="00622808"/>
    <w:rsid w:val="006D13BF"/>
    <w:rsid w:val="00850B69"/>
    <w:rsid w:val="009C45A2"/>
    <w:rsid w:val="00A84806"/>
    <w:rsid w:val="00A9644C"/>
    <w:rsid w:val="00BE0AAB"/>
    <w:rsid w:val="00C21727"/>
    <w:rsid w:val="00C35988"/>
    <w:rsid w:val="00CE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B4F9"/>
  <w14:defaultImageDpi w14:val="32767"/>
  <w15:chartTrackingRefBased/>
  <w15:docId w15:val="{E7A35513-B710-B74A-8E74-02A29630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A84806"/>
    <w:rPr>
      <w:rFonts w:eastAsia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A84806"/>
    <w:rPr>
      <w:color w:val="0000FF"/>
      <w:u w:val="single"/>
    </w:rPr>
  </w:style>
  <w:style w:type="paragraph" w:customStyle="1" w:styleId="bekezds">
    <w:name w:val="bekezdés"/>
    <w:basedOn w:val="Norml"/>
    <w:rsid w:val="00A84806"/>
    <w:pPr>
      <w:spacing w:line="360" w:lineRule="auto"/>
      <w:jc w:val="both"/>
    </w:pPr>
    <w:rPr>
      <w:rFonts w:eastAsia="Times New Roman"/>
      <w:b/>
    </w:rPr>
  </w:style>
  <w:style w:type="paragraph" w:customStyle="1" w:styleId="felsorol3">
    <w:name w:val="felsorol3"/>
    <w:basedOn w:val="Norml"/>
    <w:rsid w:val="006D13BF"/>
    <w:pPr>
      <w:tabs>
        <w:tab w:val="left" w:pos="5670"/>
      </w:tabs>
      <w:spacing w:line="360" w:lineRule="atLeast"/>
      <w:ind w:left="1843" w:hanging="709"/>
      <w:jc w:val="both"/>
    </w:pPr>
    <w:rPr>
      <w:rFonts w:eastAsia="Times New Roman"/>
      <w:sz w:val="26"/>
      <w:szCs w:val="20"/>
    </w:rPr>
  </w:style>
  <w:style w:type="paragraph" w:styleId="Listaszerbekezds">
    <w:name w:val="List Paragraph"/>
    <w:basedOn w:val="Norml"/>
    <w:uiPriority w:val="34"/>
    <w:qFormat/>
    <w:rsid w:val="006D13BF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rsid w:val="00523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ilium.europa.eu6eudocs6cms_data/docs/pressdata/en/ec/131201.pdf" TargetMode="External"/><Relationship Id="rId5" Type="http://schemas.openxmlformats.org/officeDocument/2006/relationships/hyperlink" Target="https://www.utwente.nl/bms/pa/staff/donnelly/Thesis%20-%20A%20%20Bande%2020%2008%201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754</Words>
  <Characters>5204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Zoli Nagy</cp:lastModifiedBy>
  <cp:revision>4</cp:revision>
  <cp:lastPrinted>2026-02-19T15:47:00Z</cp:lastPrinted>
  <dcterms:created xsi:type="dcterms:W3CDTF">2026-02-19T15:47:00Z</dcterms:created>
  <dcterms:modified xsi:type="dcterms:W3CDTF">2026-03-04T10:00:00Z</dcterms:modified>
</cp:coreProperties>
</file>